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cs="宋体" w:asciiTheme="majorEastAsia" w:hAnsiTheme="majorEastAsia" w:eastAsiaTheme="majorEastAsia"/>
          <w:bCs/>
          <w:kern w:val="0"/>
          <w:sz w:val="28"/>
          <w:szCs w:val="36"/>
        </w:rPr>
      </w:pPr>
      <w:r>
        <w:rPr>
          <w:rFonts w:hint="eastAsia" w:cs="宋体" w:asciiTheme="majorEastAsia" w:hAnsiTheme="majorEastAsia" w:eastAsiaTheme="majorEastAsia"/>
          <w:bCs/>
          <w:kern w:val="0"/>
          <w:sz w:val="28"/>
          <w:szCs w:val="36"/>
        </w:rPr>
        <w:t>教字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〔2019〕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号</w:t>
      </w:r>
    </w:p>
    <w:p>
      <w:pPr>
        <w:widowControl/>
        <w:shd w:val="clear" w:color="auto" w:fill="FFFFFF"/>
        <w:jc w:val="center"/>
        <w:outlineLvl w:val="1"/>
        <w:rPr>
          <w:rFonts w:cs="宋体" w:asciiTheme="majorEastAsia" w:hAnsiTheme="majorEastAsia" w:eastAsiaTheme="majorEastAsia"/>
          <w:b/>
          <w:bCs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关于遴选教师参加省第四届普通高校青年教师教学竞赛活动的通知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各二级学院：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根据省教育厅和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eastAsia="zh-CN"/>
        </w:rPr>
        <w:t>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总工会的工作安排，省第四届普通高校青年教师教学竞赛将于4月底开展。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为了能更好地展示我校青年教师风采，学校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拟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开展校内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遴选赛推荐优秀选手参赛。现将有关事宜通知如下：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一、活动组织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Arial"/>
          <w:color w:val="222222"/>
          <w:sz w:val="30"/>
          <w:szCs w:val="30"/>
        </w:rPr>
      </w:pPr>
      <w:r>
        <w:rPr>
          <w:rFonts w:hint="eastAsia" w:ascii="仿宋" w:hAnsi="仿宋" w:eastAsia="仿宋" w:cs="Arial"/>
          <w:color w:val="222222"/>
          <w:sz w:val="30"/>
          <w:szCs w:val="30"/>
        </w:rPr>
        <w:t>本次遴选活动由教务处和校工会共同组织，分</w:t>
      </w:r>
      <w:r>
        <w:rPr>
          <w:rFonts w:hint="eastAsia" w:ascii="仿宋" w:hAnsi="仿宋" w:eastAsia="仿宋" w:cs="Arial"/>
          <w:color w:val="222222"/>
          <w:sz w:val="30"/>
          <w:szCs w:val="30"/>
          <w:lang w:eastAsia="zh-CN"/>
        </w:rPr>
        <w:t>二级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学院推荐和学校遴选两个阶段进行。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Arial"/>
          <w:color w:val="222222"/>
          <w:sz w:val="30"/>
          <w:szCs w:val="30"/>
        </w:rPr>
      </w:pPr>
      <w:r>
        <w:rPr>
          <w:rFonts w:hint="eastAsia" w:ascii="仿宋" w:hAnsi="仿宋" w:eastAsia="仿宋" w:cs="Arial"/>
          <w:color w:val="222222"/>
          <w:sz w:val="30"/>
          <w:szCs w:val="30"/>
        </w:rPr>
        <w:t>学校分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人文社会科学、自然科学基础学科、自然科学应用学科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三个学科组成立遴选专家组，并分别开展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遴选活动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222222"/>
          <w:sz w:val="30"/>
          <w:szCs w:val="30"/>
        </w:rPr>
        <w:t>对遴选出参加省赛的青年教师学校将组织有关</w:t>
      </w:r>
      <w:r>
        <w:rPr>
          <w:rFonts w:hint="eastAsia" w:ascii="仿宋" w:hAnsi="仿宋" w:eastAsia="仿宋" w:cs="Arial"/>
          <w:color w:val="222222"/>
          <w:sz w:val="30"/>
          <w:szCs w:val="30"/>
          <w:lang w:eastAsia="zh-CN"/>
        </w:rPr>
        <w:t>二级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学院按照省赛的要求进行赛前准备。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Arial"/>
          <w:b/>
          <w:color w:val="222222"/>
          <w:sz w:val="30"/>
          <w:szCs w:val="30"/>
        </w:rPr>
      </w:pPr>
      <w:r>
        <w:rPr>
          <w:rFonts w:hint="eastAsia" w:ascii="仿宋" w:hAnsi="仿宋" w:eastAsia="仿宋" w:cs="Arial"/>
          <w:b/>
          <w:color w:val="222222"/>
          <w:sz w:val="30"/>
          <w:szCs w:val="30"/>
        </w:rPr>
        <w:t>二、人选要求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222222"/>
          <w:sz w:val="30"/>
          <w:szCs w:val="30"/>
        </w:rPr>
        <w:t>从事本科教学工作、年龄在40周岁以下（截</w:t>
      </w:r>
      <w:r>
        <w:rPr>
          <w:rFonts w:hint="eastAsia" w:ascii="仿宋" w:hAnsi="仿宋" w:eastAsia="仿宋" w:cs="Arial"/>
          <w:color w:val="222222"/>
          <w:sz w:val="30"/>
          <w:szCs w:val="30"/>
          <w:lang w:eastAsia="zh-CN"/>
        </w:rPr>
        <w:t>止到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2019年6月30日），2014年9月以来至少获1次校级教学质量奖表彰且其它课程教学评价均为良好以上的教师。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三、遴选办法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1．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eastAsia="zh-CN"/>
        </w:rPr>
        <w:t>二级</w:t>
      </w:r>
      <w:r>
        <w:rPr>
          <w:rFonts w:hint="eastAsia" w:ascii="仿宋" w:hAnsi="仿宋" w:eastAsia="仿宋" w:cs="Arial"/>
          <w:color w:val="222222"/>
          <w:kern w:val="0"/>
          <w:sz w:val="30"/>
          <w:szCs w:val="30"/>
        </w:rPr>
        <w:t>学院推荐。各二级学院根据人选要求和推荐名额（附件1），择优推荐教师参加学校的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遴选赛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2．学校遴选。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在各二级学院推荐的基础上，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学校组织参赛教师开展无生上课。课堂教学规定时间为20分钟（教学内容自定）。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专家组成员从教学内容、教学组织、教学语言与教态和教学特色四个方面进行考评。每个学科组遴选出的第1名将代表学校参加省赛。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eastAsia="仿宋" w:cs="Arial" w:asciiTheme="majorEastAsia" w:hAnsiTheme="majorEastAsia"/>
          <w:color w:val="222222"/>
          <w:kern w:val="0"/>
          <w:sz w:val="30"/>
          <w:szCs w:val="30"/>
        </w:rPr>
        <w:t> </w:t>
      </w:r>
      <w:r>
        <w:rPr>
          <w:rFonts w:hint="eastAsia" w:ascii="仿宋" w:hAnsi="仿宋" w:eastAsia="仿宋" w:cs="Arial"/>
          <w:color w:val="222222"/>
          <w:kern w:val="0"/>
          <w:sz w:val="30"/>
          <w:szCs w:val="30"/>
        </w:rPr>
        <w:t xml:space="preserve"> </w:t>
      </w:r>
      <w:r>
        <w:rPr>
          <w:rFonts w:hint="eastAsia" w:eastAsia="仿宋" w:cs="Arial" w:asciiTheme="majorEastAsia" w:hAnsiTheme="majorEastAsia"/>
          <w:color w:val="222222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四、遴选要求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希望各二级学院认真做好本次活动的组织宣传工作。充分认识到通过组织青年教师参加省教学竞赛活动，达到内提素质、外树形像的目的。学校开展遴选活动时，各二级学院要组织其他青年教师现场观摩。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各二级学院于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4月1</w:t>
      </w:r>
      <w:r>
        <w:rPr>
          <w:rFonts w:hint="eastAsia" w:ascii="仿宋" w:hAnsi="仿宋" w:eastAsia="仿宋" w:cs="Arial"/>
          <w:color w:val="22222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日前将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纸质版参赛人选的</w:t>
      </w:r>
      <w:r>
        <w:rPr>
          <w:rFonts w:hint="eastAsia" w:ascii="仿宋" w:hAnsi="仿宋" w:eastAsia="仿宋" w:cs="Arial"/>
          <w:color w:val="222222"/>
          <w:kern w:val="0"/>
          <w:sz w:val="30"/>
          <w:szCs w:val="30"/>
        </w:rPr>
        <w:t>推荐表（附件2）</w:t>
      </w:r>
      <w:r>
        <w:rPr>
          <w:rFonts w:hint="eastAsia" w:ascii="仿宋" w:hAnsi="仿宋" w:eastAsia="仿宋" w:cs="Arial"/>
          <w:color w:val="222222"/>
          <w:kern w:val="0"/>
          <w:sz w:val="30"/>
          <w:szCs w:val="30"/>
          <w:lang w:eastAsia="zh-CN"/>
        </w:rPr>
        <w:t>和电子版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提交至</w:t>
      </w:r>
      <w:r>
        <w:rPr>
          <w:rFonts w:hint="eastAsia" w:ascii="仿宋" w:hAnsi="仿宋" w:eastAsia="仿宋" w:cs="宋体"/>
          <w:kern w:val="0"/>
          <w:sz w:val="30"/>
          <w:szCs w:val="30"/>
        </w:rPr>
        <w:t>校工会徐健老师处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五、奖励措施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学校将对</w:t>
      </w:r>
      <w:r>
        <w:rPr>
          <w:rFonts w:hint="eastAsia" w:ascii="仿宋" w:hAnsi="仿宋" w:eastAsia="仿宋" w:cs="Arial"/>
          <w:color w:val="222222"/>
          <w:sz w:val="30"/>
          <w:szCs w:val="30"/>
        </w:rPr>
        <w:t>每个学科组遴选出的前3名分别给予奖励，。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省赛除了设置了相应名次的奖项外，对竞赛中获得各组第一名的选手，省教育厅将授予“省级教坛新秀”称号，省总工会按照综合条件与程序授予“安徽省五一劳动奖章”称号。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附件1：《参加学校遴选赛推荐名额分配表》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附件2：《推荐参加学校遴选赛选手信息表》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30"/>
          <w:szCs w:val="30"/>
        </w:rPr>
      </w:pPr>
      <w:r>
        <w:rPr>
          <w:rFonts w:cs="宋体" w:asciiTheme="majorEastAsia" w:hAnsiTheme="majorEastAsia" w:eastAsiaTheme="majorEastAsia"/>
          <w:color w:val="333333"/>
          <w:kern w:val="0"/>
          <w:sz w:val="30"/>
          <w:szCs w:val="30"/>
        </w:rPr>
        <w:t xml:space="preserve"> 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 xml:space="preserve">                                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 xml:space="preserve">                     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教务处  工会</w:t>
      </w:r>
    </w:p>
    <w:p>
      <w:pPr>
        <w:widowControl/>
        <w:shd w:val="clear" w:color="auto" w:fill="FFFFFF"/>
        <w:spacing w:line="600" w:lineRule="exact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2019年4月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spacing w:line="600" w:lineRule="exact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bookmarkStart w:id="0" w:name="_GoBack"/>
      <w:bookmarkEnd w:id="0"/>
    </w:p>
    <w:p>
      <w:pPr>
        <w:pStyle w:val="16"/>
        <w:snapToGrid w:val="0"/>
        <w:rPr>
          <w:rFonts w:ascii="文鼎大标宋简" w:hAnsi="华文中宋" w:eastAsia="文鼎大标宋简"/>
          <w:sz w:val="28"/>
          <w:szCs w:val="28"/>
        </w:rPr>
      </w:pPr>
      <w:r>
        <w:rPr>
          <w:rFonts w:hint="eastAsia" w:ascii="文鼎大标宋简" w:hAnsi="华文中宋" w:eastAsia="文鼎大标宋简"/>
          <w:sz w:val="28"/>
          <w:szCs w:val="28"/>
        </w:rPr>
        <w:t>附件1</w:t>
      </w:r>
    </w:p>
    <w:p>
      <w:pPr>
        <w:pStyle w:val="16"/>
        <w:snapToGrid w:val="0"/>
        <w:jc w:val="center"/>
        <w:rPr>
          <w:rFonts w:ascii="文鼎大标宋简" w:hAnsi="华文中宋" w:eastAsia="文鼎大标宋简"/>
          <w:sz w:val="28"/>
          <w:szCs w:val="28"/>
        </w:rPr>
      </w:pPr>
      <w:r>
        <w:rPr>
          <w:rFonts w:hint="eastAsia" w:ascii="文鼎大标宋简" w:hAnsi="华文中宋" w:eastAsia="文鼎大标宋简"/>
          <w:sz w:val="44"/>
          <w:szCs w:val="44"/>
        </w:rPr>
        <w:t>参加学校遴选赛推荐名额分配表</w:t>
      </w:r>
    </w:p>
    <w:p>
      <w:pPr>
        <w:pStyle w:val="16"/>
        <w:snapToGrid w:val="0"/>
        <w:jc w:val="center"/>
        <w:rPr>
          <w:rFonts w:ascii="文鼎大标宋简" w:hAnsi="华文中宋" w:eastAsia="文鼎大标宋简"/>
          <w:sz w:val="44"/>
          <w:szCs w:val="4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6"/>
        <w:gridCol w:w="1587"/>
        <w:gridCol w:w="166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序号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学院名称</w:t>
            </w:r>
          </w:p>
        </w:tc>
        <w:tc>
          <w:tcPr>
            <w:tcW w:w="5009" w:type="dxa"/>
            <w:gridSpan w:val="3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人文社会科学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自然科学基础学科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自然科学应用学科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文学与传媒学院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数学与计算机学院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3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外国语学院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4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管理与法学院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5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旅游与历史文化学院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6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资源环境学院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7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机电工程学院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8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美术与设计学院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9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化学与材料工程学院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10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商学院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11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音乐与教育学院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12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13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马克思主义学院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14</w:t>
            </w: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大数据学院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269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合计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9</w:t>
            </w:r>
          </w:p>
        </w:tc>
        <w:tc>
          <w:tcPr>
            <w:tcW w:w="166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9</w:t>
            </w:r>
          </w:p>
        </w:tc>
      </w:tr>
    </w:tbl>
    <w:p>
      <w:pPr>
        <w:pStyle w:val="16"/>
        <w:snapToGrid w:val="0"/>
        <w:jc w:val="both"/>
        <w:rPr>
          <w:rFonts w:ascii="文鼎大标宋简" w:hAnsi="华文中宋" w:eastAsia="文鼎大标宋简"/>
          <w:sz w:val="36"/>
          <w:szCs w:val="36"/>
        </w:rPr>
      </w:pPr>
    </w:p>
    <w:p>
      <w:pPr>
        <w:pStyle w:val="16"/>
        <w:snapToGrid w:val="0"/>
        <w:rPr>
          <w:rFonts w:ascii="文鼎大标宋简" w:hAnsi="华文中宋" w:eastAsia="文鼎大标宋简"/>
          <w:sz w:val="36"/>
          <w:szCs w:val="36"/>
        </w:rPr>
      </w:pPr>
      <w:r>
        <w:rPr>
          <w:rFonts w:hint="eastAsia" w:ascii="文鼎大标宋简" w:hAnsi="华文中宋" w:eastAsia="文鼎大标宋简"/>
          <w:sz w:val="28"/>
          <w:szCs w:val="28"/>
        </w:rPr>
        <w:t>附件2</w:t>
      </w:r>
    </w:p>
    <w:p>
      <w:pPr>
        <w:pStyle w:val="16"/>
        <w:snapToGrid w:val="0"/>
        <w:jc w:val="center"/>
        <w:rPr>
          <w:rFonts w:ascii="文鼎大标宋简" w:hAnsi="华文中宋" w:eastAsia="文鼎大标宋简"/>
          <w:sz w:val="44"/>
          <w:szCs w:val="44"/>
        </w:rPr>
      </w:pPr>
      <w:r>
        <w:rPr>
          <w:rFonts w:hint="eastAsia" w:ascii="文鼎大标宋简" w:hAnsi="华文中宋" w:eastAsia="文鼎大标宋简"/>
          <w:sz w:val="36"/>
          <w:szCs w:val="36"/>
        </w:rPr>
        <w:t>推荐参加学校遴选赛选手信息表</w:t>
      </w:r>
    </w:p>
    <w:p>
      <w:pPr>
        <w:pStyle w:val="16"/>
        <w:snapToGrid w:val="0"/>
        <w:jc w:val="center"/>
        <w:rPr>
          <w:rFonts w:ascii="文鼎大标宋简" w:hAnsi="华文中宋" w:eastAsia="文鼎大标宋简"/>
          <w:sz w:val="36"/>
          <w:szCs w:val="36"/>
        </w:rPr>
      </w:pPr>
    </w:p>
    <w:tbl>
      <w:tblPr>
        <w:tblStyle w:val="7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5"/>
        <w:gridCol w:w="864"/>
        <w:gridCol w:w="891"/>
        <w:gridCol w:w="527"/>
        <w:gridCol w:w="709"/>
        <w:gridCol w:w="2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最高学历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出生年月</w:t>
            </w:r>
            <w:r>
              <w:rPr>
                <w:rFonts w:ascii="宋体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最高学位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毕业学校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参加工作时间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6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所在学院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参赛课程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参赛学科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2014年9月以来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教学质量奖和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其他课程教学质量评估</w:t>
            </w:r>
          </w:p>
        </w:tc>
        <w:tc>
          <w:tcPr>
            <w:tcW w:w="6800" w:type="dxa"/>
            <w:gridSpan w:val="6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所在二级学院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240" w:firstLineChars="1350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320" w:firstLineChars="1800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盖</w:t>
            </w:r>
            <w:r>
              <w:rPr>
                <w:rFonts w:ascii="宋体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kern w:val="0"/>
                <w:sz w:val="24"/>
              </w:rPr>
              <w:t>章</w:t>
            </w:r>
          </w:p>
          <w:p>
            <w:pPr>
              <w:widowControl/>
              <w:spacing w:line="400" w:lineRule="exact"/>
              <w:ind w:firstLine="3960" w:firstLineChars="1650"/>
              <w:jc w:val="left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仿宋_GB2312"/>
                <w:kern w:val="0"/>
                <w:sz w:val="24"/>
              </w:rPr>
              <w:t>月</w:t>
            </w:r>
            <w:r>
              <w:rPr>
                <w:rFonts w:ascii="宋体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B46"/>
    <w:rsid w:val="00060142"/>
    <w:rsid w:val="0009644F"/>
    <w:rsid w:val="000A1930"/>
    <w:rsid w:val="000B5865"/>
    <w:rsid w:val="001163BE"/>
    <w:rsid w:val="001172CB"/>
    <w:rsid w:val="0012596B"/>
    <w:rsid w:val="00143132"/>
    <w:rsid w:val="00171274"/>
    <w:rsid w:val="001913EE"/>
    <w:rsid w:val="001B6AF9"/>
    <w:rsid w:val="001E7B46"/>
    <w:rsid w:val="00237D3C"/>
    <w:rsid w:val="002943E1"/>
    <w:rsid w:val="002C05EA"/>
    <w:rsid w:val="002E76DD"/>
    <w:rsid w:val="003100E5"/>
    <w:rsid w:val="0032181A"/>
    <w:rsid w:val="003234DF"/>
    <w:rsid w:val="00354F71"/>
    <w:rsid w:val="00362C62"/>
    <w:rsid w:val="00381953"/>
    <w:rsid w:val="003E2A1F"/>
    <w:rsid w:val="00403D95"/>
    <w:rsid w:val="00422E3E"/>
    <w:rsid w:val="004559FF"/>
    <w:rsid w:val="00466712"/>
    <w:rsid w:val="004A6492"/>
    <w:rsid w:val="004B76FC"/>
    <w:rsid w:val="004F5C3B"/>
    <w:rsid w:val="00512ABA"/>
    <w:rsid w:val="00556EB4"/>
    <w:rsid w:val="00586633"/>
    <w:rsid w:val="005C5D58"/>
    <w:rsid w:val="006148AF"/>
    <w:rsid w:val="0061733A"/>
    <w:rsid w:val="00625A14"/>
    <w:rsid w:val="00650315"/>
    <w:rsid w:val="00660365"/>
    <w:rsid w:val="00662072"/>
    <w:rsid w:val="00721E72"/>
    <w:rsid w:val="00771003"/>
    <w:rsid w:val="00794DFD"/>
    <w:rsid w:val="0079722C"/>
    <w:rsid w:val="007A4D44"/>
    <w:rsid w:val="007B27FC"/>
    <w:rsid w:val="007B37BE"/>
    <w:rsid w:val="00852E2E"/>
    <w:rsid w:val="008663E3"/>
    <w:rsid w:val="008A00EB"/>
    <w:rsid w:val="008A7A19"/>
    <w:rsid w:val="009031E3"/>
    <w:rsid w:val="00917CEB"/>
    <w:rsid w:val="00924BAA"/>
    <w:rsid w:val="0093242B"/>
    <w:rsid w:val="009445AE"/>
    <w:rsid w:val="009462B5"/>
    <w:rsid w:val="00952A9A"/>
    <w:rsid w:val="00957A20"/>
    <w:rsid w:val="00967510"/>
    <w:rsid w:val="00991624"/>
    <w:rsid w:val="009A26E1"/>
    <w:rsid w:val="009B0C30"/>
    <w:rsid w:val="009C0232"/>
    <w:rsid w:val="009C33FA"/>
    <w:rsid w:val="00A10222"/>
    <w:rsid w:val="00A24EAD"/>
    <w:rsid w:val="00A45A07"/>
    <w:rsid w:val="00A72BE4"/>
    <w:rsid w:val="00AE1408"/>
    <w:rsid w:val="00B03A2D"/>
    <w:rsid w:val="00B1227F"/>
    <w:rsid w:val="00B3096B"/>
    <w:rsid w:val="00B72451"/>
    <w:rsid w:val="00B729B6"/>
    <w:rsid w:val="00B8687C"/>
    <w:rsid w:val="00BB0803"/>
    <w:rsid w:val="00BE5693"/>
    <w:rsid w:val="00C115BB"/>
    <w:rsid w:val="00C255E8"/>
    <w:rsid w:val="00C54CE4"/>
    <w:rsid w:val="00CA5CEB"/>
    <w:rsid w:val="00CB3315"/>
    <w:rsid w:val="00CD0394"/>
    <w:rsid w:val="00CF721B"/>
    <w:rsid w:val="00D41912"/>
    <w:rsid w:val="00D82067"/>
    <w:rsid w:val="00DB676A"/>
    <w:rsid w:val="00DF3AD1"/>
    <w:rsid w:val="00E229CD"/>
    <w:rsid w:val="00E25535"/>
    <w:rsid w:val="00E3663B"/>
    <w:rsid w:val="00E43FE4"/>
    <w:rsid w:val="00E53FB1"/>
    <w:rsid w:val="00E5771A"/>
    <w:rsid w:val="00E65E5C"/>
    <w:rsid w:val="00E80088"/>
    <w:rsid w:val="00E838A8"/>
    <w:rsid w:val="00E83B63"/>
    <w:rsid w:val="00EA4590"/>
    <w:rsid w:val="00EC2B1C"/>
    <w:rsid w:val="00ED55B6"/>
    <w:rsid w:val="00EF3151"/>
    <w:rsid w:val="00EF6A38"/>
    <w:rsid w:val="00F22B9F"/>
    <w:rsid w:val="00F2386E"/>
    <w:rsid w:val="00F4560C"/>
    <w:rsid w:val="00F4742E"/>
    <w:rsid w:val="00F51C7A"/>
    <w:rsid w:val="00F523F1"/>
    <w:rsid w:val="00F63EA1"/>
    <w:rsid w:val="11A30FFA"/>
    <w:rsid w:val="1AED2085"/>
    <w:rsid w:val="1E730451"/>
    <w:rsid w:val="3E777E10"/>
    <w:rsid w:val="56251989"/>
    <w:rsid w:val="6947159F"/>
    <w:rsid w:val="6C9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206</Words>
  <Characters>1176</Characters>
  <Lines>9</Lines>
  <Paragraphs>2</Paragraphs>
  <TotalTime>603</TotalTime>
  <ScaleCrop>false</ScaleCrop>
  <LinksUpToDate>false</LinksUpToDate>
  <CharactersWithSpaces>1380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2019-03-26T03:02:00Z</dcterms:created>
  <dc:creator>工会</dc:creator>
  <cp:lastModifiedBy>LYH</cp:lastModifiedBy>
  <cp:lastPrinted>2019-04-08T01:22:00Z</cp:lastPrinted>
  <dcterms:modified xsi:type="dcterms:W3CDTF">2019-04-12T02:03:42Z</dcterms:modified>
  <dc:title>教学竞赛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